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542" w:hangingChars="150"/>
        <w:jc w:val="center"/>
        <w:rPr>
          <w:rFonts w:hint="eastAsia" w:ascii="仿宋_GB2312" w:hAnsi="仿宋_GB2312" w:eastAsia="仿宋_GB2312" w:cs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highlight w:val="none"/>
        </w:rPr>
        <w:t>特别说明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资产以现状为准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，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拍卖严格按照资产现状拍卖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，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拍卖清单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仅做参考；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竞买人须是具有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园林绿化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资质的企业法人单位（外地注册在深圳从事生产、经营的企业还须提供深圳市税务机关核发的临时税务登记证明）；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 xml:space="preserve">买受人须在拍卖成交之日起3个工作日内一次性付清全部成交款；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因拍卖物涉及的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起挖和运输等移交事项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由买受人负责，由此所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产生的一切费用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和风险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由买受人承担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（竞买人需要自行办理绿化迁移手续）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；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default" w:ascii="宋体" w:hAnsi="宋体"/>
          <w:b w:val="0"/>
          <w:color w:val="auto"/>
          <w:sz w:val="28"/>
          <w:szCs w:val="28"/>
          <w:highlight w:val="none"/>
          <w:lang w:val="en-US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5、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标的有损坏或残缺不全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  <w:t>，拍卖公司不承担瑕疵担保责任；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6、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成交后买受人缴纳的保证金转为履约保证金，提货完毕经委托方同意后由拍卖公司全额无息按原账号退还。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7、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买受人应在拍卖成交之日起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天内将提清货物，逾期视为违约，保证金不予退回，转让方有权另行处置未提清货物。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right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eastAsia="zh-CN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深圳市公园管理中心</w:t>
      </w:r>
      <w:bookmarkStart w:id="0" w:name="_GoBack"/>
      <w:bookmarkEnd w:id="0"/>
    </w:p>
    <w:p>
      <w:pPr>
        <w:pStyle w:val="10"/>
        <w:numPr>
          <w:ilvl w:val="0"/>
          <w:numId w:val="0"/>
        </w:numPr>
        <w:spacing w:line="360" w:lineRule="auto"/>
        <w:ind w:leftChars="0"/>
        <w:jc w:val="right"/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</w:pP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20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年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月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  <w:lang w:val="en-US" w:eastAsia="zh-CN"/>
        </w:rPr>
        <w:t>26</w:t>
      </w:r>
      <w:r>
        <w:rPr>
          <w:rStyle w:val="7"/>
          <w:rFonts w:hint="eastAsia" w:ascii="宋体" w:hAnsi="宋体"/>
          <w:b w:val="0"/>
          <w:color w:val="auto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5"/>
    <w:rsid w:val="00020798"/>
    <w:rsid w:val="00751CA5"/>
    <w:rsid w:val="008361D4"/>
    <w:rsid w:val="008B2CFB"/>
    <w:rsid w:val="00AA163E"/>
    <w:rsid w:val="00ED5B75"/>
    <w:rsid w:val="00F05EE4"/>
    <w:rsid w:val="0A430A1E"/>
    <w:rsid w:val="13E8727A"/>
    <w:rsid w:val="153C5587"/>
    <w:rsid w:val="352D6255"/>
    <w:rsid w:val="3E631E03"/>
    <w:rsid w:val="4257789C"/>
    <w:rsid w:val="4B98460F"/>
    <w:rsid w:val="4C900CB4"/>
    <w:rsid w:val="5D6055C3"/>
    <w:rsid w:val="605C7890"/>
    <w:rsid w:val="619A58C1"/>
    <w:rsid w:val="6A430DBE"/>
    <w:rsid w:val="6C397299"/>
    <w:rsid w:val="6F96069E"/>
    <w:rsid w:val="75313EC3"/>
    <w:rsid w:val="7E6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Administrator</cp:lastModifiedBy>
  <cp:lastPrinted>2020-03-24T01:34:00Z</cp:lastPrinted>
  <dcterms:modified xsi:type="dcterms:W3CDTF">2020-03-26T07:23:13Z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